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F5" w:rsidRPr="00AC5119" w:rsidRDefault="00AC5119">
      <w:pPr>
        <w:rPr>
          <w:b/>
          <w:sz w:val="24"/>
          <w:szCs w:val="24"/>
        </w:rPr>
      </w:pPr>
      <w:r w:rsidRPr="00AC5119">
        <w:rPr>
          <w:b/>
          <w:sz w:val="24"/>
          <w:szCs w:val="24"/>
        </w:rPr>
        <w:t>MANLY 2015:  STATE OF PLAY AND OUTSTANDING ISSUES</w:t>
      </w:r>
    </w:p>
    <w:p w:rsidR="00AC5119" w:rsidRDefault="00AC5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801"/>
        <w:gridCol w:w="3119"/>
        <w:gridCol w:w="7278"/>
      </w:tblGrid>
      <w:tr w:rsidR="00E4288F" w:rsidRPr="00AC5119" w:rsidTr="00E4288F">
        <w:tc>
          <w:tcPr>
            <w:tcW w:w="0" w:type="auto"/>
          </w:tcPr>
          <w:p w:rsidR="00AC5119" w:rsidRPr="00E4288F" w:rsidRDefault="00AC5119">
            <w:pPr>
              <w:rPr>
                <w:b/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801" w:type="dxa"/>
          </w:tcPr>
          <w:p w:rsidR="00AC5119" w:rsidRPr="00E4288F" w:rsidRDefault="00AC5119">
            <w:pPr>
              <w:rPr>
                <w:b/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Was</w:t>
            </w:r>
          </w:p>
        </w:tc>
        <w:tc>
          <w:tcPr>
            <w:tcW w:w="3119" w:type="dxa"/>
          </w:tcPr>
          <w:p w:rsidR="00AC5119" w:rsidRPr="00E4288F" w:rsidRDefault="00AC5119">
            <w:pPr>
              <w:rPr>
                <w:b/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Now</w:t>
            </w:r>
          </w:p>
        </w:tc>
        <w:tc>
          <w:tcPr>
            <w:tcW w:w="7278" w:type="dxa"/>
          </w:tcPr>
          <w:p w:rsidR="00AC5119" w:rsidRPr="00E4288F" w:rsidRDefault="00AC5119">
            <w:pPr>
              <w:rPr>
                <w:b/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Comment/Outstanding issues</w:t>
            </w:r>
          </w:p>
        </w:tc>
      </w:tr>
      <w:tr w:rsidR="00E4288F" w:rsidRPr="00AC5119" w:rsidTr="00E4288F">
        <w:tc>
          <w:tcPr>
            <w:tcW w:w="0" w:type="auto"/>
          </w:tcPr>
          <w:p w:rsidR="00AC5119" w:rsidRPr="00E4288F" w:rsidRDefault="00AC5119">
            <w:pPr>
              <w:rPr>
                <w:sz w:val="18"/>
                <w:szCs w:val="18"/>
              </w:rPr>
            </w:pPr>
            <w:r w:rsidRPr="00E4288F">
              <w:rPr>
                <w:sz w:val="18"/>
                <w:szCs w:val="18"/>
              </w:rPr>
              <w:t>Manly Oval Car Park IRR</w:t>
            </w:r>
          </w:p>
        </w:tc>
        <w:tc>
          <w:tcPr>
            <w:tcW w:w="2801" w:type="dxa"/>
          </w:tcPr>
          <w:p w:rsidR="00AC5119" w:rsidRPr="00E4288F" w:rsidRDefault="00AC5119" w:rsidP="00FA0797">
            <w:pPr>
              <w:jc w:val="center"/>
              <w:rPr>
                <w:sz w:val="18"/>
                <w:szCs w:val="18"/>
              </w:rPr>
            </w:pPr>
            <w:r w:rsidRPr="00E4288F">
              <w:rPr>
                <w:sz w:val="18"/>
                <w:szCs w:val="18"/>
              </w:rPr>
              <w:t>12.9%</w:t>
            </w:r>
          </w:p>
        </w:tc>
        <w:tc>
          <w:tcPr>
            <w:tcW w:w="3119" w:type="dxa"/>
          </w:tcPr>
          <w:p w:rsidR="00AC5119" w:rsidRPr="00E4288F" w:rsidRDefault="00AC5119" w:rsidP="00FA0797">
            <w:pPr>
              <w:jc w:val="center"/>
              <w:rPr>
                <w:sz w:val="18"/>
                <w:szCs w:val="18"/>
              </w:rPr>
            </w:pPr>
            <w:r w:rsidRPr="00E4288F">
              <w:rPr>
                <w:sz w:val="18"/>
                <w:szCs w:val="18"/>
              </w:rPr>
              <w:t>6.6%</w:t>
            </w:r>
          </w:p>
        </w:tc>
        <w:tc>
          <w:tcPr>
            <w:tcW w:w="7278" w:type="dxa"/>
          </w:tcPr>
          <w:p w:rsidR="00AC5119" w:rsidRPr="00E4288F" w:rsidRDefault="00AC5119">
            <w:pPr>
              <w:rPr>
                <w:sz w:val="18"/>
                <w:szCs w:val="18"/>
              </w:rPr>
            </w:pPr>
            <w:r w:rsidRPr="00E4288F">
              <w:rPr>
                <w:sz w:val="18"/>
                <w:szCs w:val="18"/>
              </w:rPr>
              <w:t>Original IRR was based on an assumption of no free parking, and no traffic growth.  KPMG have revised their assumption to include 70% of vehicles parking for free and traffic growth of 3.5% per annum.</w:t>
            </w:r>
          </w:p>
          <w:p w:rsidR="00AC5119" w:rsidRPr="00E4288F" w:rsidRDefault="00AC5119">
            <w:pPr>
              <w:rPr>
                <w:sz w:val="18"/>
                <w:szCs w:val="18"/>
              </w:rPr>
            </w:pPr>
          </w:p>
          <w:p w:rsidR="00AC5119" w:rsidRDefault="00AC5119">
            <w:pPr>
              <w:rPr>
                <w:b/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Outstanding issue:  Council have now disclosed that not all vehicles staying longer than 2 hours pay.</w:t>
            </w:r>
            <w:r w:rsidR="00937DD4">
              <w:rPr>
                <w:b/>
                <w:sz w:val="18"/>
                <w:szCs w:val="18"/>
              </w:rPr>
              <w:t xml:space="preserve">  This accounts for the difference between the $9.43 per stay originally calculated and Council’s stated revenue per stay of $12.40.  Nevertheless, the total Whistler St revenue from car parking is $1.15m under both scenarios. </w:t>
            </w:r>
            <w:r w:rsidRPr="00E4288F">
              <w:rPr>
                <w:b/>
                <w:sz w:val="18"/>
                <w:szCs w:val="18"/>
              </w:rPr>
              <w:t>The revised % of vehicles paying for parking is now</w:t>
            </w:r>
            <w:r w:rsidR="00E4288F">
              <w:rPr>
                <w:b/>
                <w:sz w:val="18"/>
                <w:szCs w:val="18"/>
              </w:rPr>
              <w:t xml:space="preserve"> only</w:t>
            </w:r>
            <w:r w:rsidRPr="00E4288F">
              <w:rPr>
                <w:b/>
                <w:sz w:val="18"/>
                <w:szCs w:val="18"/>
              </w:rPr>
              <w:t xml:space="preserve"> 22-23%</w:t>
            </w:r>
            <w:r w:rsidR="00E4288F" w:rsidRPr="00E4288F">
              <w:rPr>
                <w:b/>
                <w:sz w:val="18"/>
                <w:szCs w:val="18"/>
              </w:rPr>
              <w:t>.  This could reduce forward revenue assumptions by $400,00</w:t>
            </w:r>
            <w:r w:rsidR="00E4288F">
              <w:rPr>
                <w:b/>
                <w:sz w:val="18"/>
                <w:szCs w:val="18"/>
              </w:rPr>
              <w:t>0</w:t>
            </w:r>
            <w:r w:rsidR="00937DD4">
              <w:rPr>
                <w:b/>
                <w:sz w:val="18"/>
                <w:szCs w:val="18"/>
              </w:rPr>
              <w:t xml:space="preserve"> per annum, and would reduce the IRR calculated by KPMG by several percent (up to 4-5%).  KPMG have already confirmed (Manly Chamber Breakfast in response to Q&amp;A) that under the 6.6% scenario Council will not cash breakeven on the project until the 2030’s.</w:t>
            </w:r>
          </w:p>
          <w:p w:rsidR="004D3CD8" w:rsidRPr="00E4288F" w:rsidRDefault="004D3CD8">
            <w:pPr>
              <w:rPr>
                <w:b/>
                <w:sz w:val="18"/>
                <w:szCs w:val="18"/>
              </w:rPr>
            </w:pPr>
          </w:p>
        </w:tc>
      </w:tr>
      <w:tr w:rsidR="00E4288F" w:rsidRPr="00AC5119" w:rsidTr="00E4288F">
        <w:tc>
          <w:tcPr>
            <w:tcW w:w="0" w:type="auto"/>
          </w:tcPr>
          <w:p w:rsidR="00AC5119" w:rsidRPr="00E4288F" w:rsidRDefault="00AC5119">
            <w:pPr>
              <w:rPr>
                <w:sz w:val="18"/>
                <w:szCs w:val="18"/>
              </w:rPr>
            </w:pPr>
            <w:r w:rsidRPr="00E4288F">
              <w:rPr>
                <w:sz w:val="18"/>
                <w:szCs w:val="18"/>
              </w:rPr>
              <w:t>Funding</w:t>
            </w:r>
          </w:p>
        </w:tc>
        <w:tc>
          <w:tcPr>
            <w:tcW w:w="2801" w:type="dxa"/>
          </w:tcPr>
          <w:p w:rsidR="00AC5119" w:rsidRPr="00E4288F" w:rsidRDefault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 xml:space="preserve">Oval Car Park: </w:t>
            </w:r>
            <w:r w:rsidRPr="00E4288F">
              <w:rPr>
                <w:sz w:val="18"/>
                <w:szCs w:val="18"/>
              </w:rPr>
              <w:t xml:space="preserve">   Debt</w:t>
            </w:r>
          </w:p>
          <w:p w:rsidR="00E4288F" w:rsidRPr="00E4288F" w:rsidRDefault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 xml:space="preserve">Water </w:t>
            </w:r>
            <w:proofErr w:type="spellStart"/>
            <w:r w:rsidRPr="00E4288F">
              <w:rPr>
                <w:b/>
                <w:sz w:val="18"/>
                <w:szCs w:val="18"/>
              </w:rPr>
              <w:t>Rention</w:t>
            </w:r>
            <w:proofErr w:type="spellEnd"/>
            <w:r w:rsidRPr="00E4288F">
              <w:rPr>
                <w:b/>
                <w:sz w:val="18"/>
                <w:szCs w:val="18"/>
              </w:rPr>
              <w:t xml:space="preserve"> Tank</w:t>
            </w:r>
            <w:r w:rsidRPr="00E4288F">
              <w:rPr>
                <w:sz w:val="18"/>
                <w:szCs w:val="18"/>
              </w:rPr>
              <w:t>:    Debt</w:t>
            </w:r>
          </w:p>
          <w:p w:rsidR="00E4288F" w:rsidRPr="00E4288F" w:rsidRDefault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Library:</w:t>
            </w:r>
            <w:r w:rsidRPr="00E4288F">
              <w:rPr>
                <w:sz w:val="18"/>
                <w:szCs w:val="18"/>
              </w:rPr>
              <w:t xml:space="preserve">  Sale proceeds of Whistler St</w:t>
            </w:r>
          </w:p>
          <w:p w:rsidR="00E4288F" w:rsidRPr="00E4288F" w:rsidRDefault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Laneways</w:t>
            </w:r>
            <w:r w:rsidRPr="00E4288F">
              <w:rPr>
                <w:sz w:val="18"/>
                <w:szCs w:val="18"/>
              </w:rPr>
              <w:t>:  Council funds</w:t>
            </w:r>
          </w:p>
        </w:tc>
        <w:tc>
          <w:tcPr>
            <w:tcW w:w="3119" w:type="dxa"/>
          </w:tcPr>
          <w:p w:rsidR="00E4288F" w:rsidRPr="00E4288F" w:rsidRDefault="00E4288F" w:rsidP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 xml:space="preserve">Oval Car Park: </w:t>
            </w:r>
            <w:r w:rsidRPr="00E4288F">
              <w:rPr>
                <w:sz w:val="18"/>
                <w:szCs w:val="18"/>
              </w:rPr>
              <w:t xml:space="preserve">   Debt</w:t>
            </w:r>
            <w:r w:rsidRPr="00E4288F">
              <w:rPr>
                <w:sz w:val="18"/>
                <w:szCs w:val="18"/>
              </w:rPr>
              <w:t xml:space="preserve"> &amp; Sale proceeds from Whistler St</w:t>
            </w:r>
          </w:p>
          <w:p w:rsidR="00E4288F" w:rsidRPr="00E4288F" w:rsidRDefault="00E4288F" w:rsidP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 xml:space="preserve">Water </w:t>
            </w:r>
            <w:proofErr w:type="spellStart"/>
            <w:r w:rsidRPr="00E4288F">
              <w:rPr>
                <w:b/>
                <w:sz w:val="18"/>
                <w:szCs w:val="18"/>
              </w:rPr>
              <w:t>Rention</w:t>
            </w:r>
            <w:proofErr w:type="spellEnd"/>
            <w:r w:rsidRPr="00E4288F">
              <w:rPr>
                <w:b/>
                <w:sz w:val="18"/>
                <w:szCs w:val="18"/>
              </w:rPr>
              <w:t xml:space="preserve"> Tank</w:t>
            </w:r>
            <w:r w:rsidRPr="00E4288F">
              <w:rPr>
                <w:sz w:val="18"/>
                <w:szCs w:val="18"/>
              </w:rPr>
              <w:t>:    Debt</w:t>
            </w:r>
            <w:r w:rsidRPr="00E4288F">
              <w:rPr>
                <w:sz w:val="18"/>
                <w:szCs w:val="18"/>
              </w:rPr>
              <w:t>, at subsidised interest</w:t>
            </w:r>
          </w:p>
          <w:p w:rsidR="00E4288F" w:rsidRPr="00E4288F" w:rsidRDefault="00E4288F" w:rsidP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Library:</w:t>
            </w:r>
            <w:r w:rsidRPr="00E4288F">
              <w:rPr>
                <w:sz w:val="18"/>
                <w:szCs w:val="18"/>
              </w:rPr>
              <w:t xml:space="preserve">  Debt</w:t>
            </w:r>
          </w:p>
          <w:p w:rsidR="00AC5119" w:rsidRPr="00E4288F" w:rsidRDefault="00E4288F" w:rsidP="00E4288F">
            <w:pPr>
              <w:rPr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Laneways</w:t>
            </w:r>
            <w:r w:rsidRPr="00E4288F">
              <w:rPr>
                <w:sz w:val="18"/>
                <w:szCs w:val="18"/>
              </w:rPr>
              <w:t>:  Council funds</w:t>
            </w:r>
          </w:p>
        </w:tc>
        <w:tc>
          <w:tcPr>
            <w:tcW w:w="7278" w:type="dxa"/>
          </w:tcPr>
          <w:p w:rsidR="00AC5119" w:rsidRDefault="00E4288F">
            <w:pPr>
              <w:rPr>
                <w:sz w:val="18"/>
                <w:szCs w:val="18"/>
              </w:rPr>
            </w:pPr>
            <w:r w:rsidRPr="00E4288F">
              <w:rPr>
                <w:sz w:val="18"/>
                <w:szCs w:val="18"/>
              </w:rPr>
              <w:t>Original assessment was based on the assumption that Oval Car Park would cover its operating</w:t>
            </w:r>
            <w:r>
              <w:rPr>
                <w:sz w:val="18"/>
                <w:szCs w:val="18"/>
              </w:rPr>
              <w:t xml:space="preserve"> and</w:t>
            </w:r>
            <w:r w:rsidRPr="00E4288F">
              <w:rPr>
                <w:sz w:val="18"/>
                <w:szCs w:val="18"/>
              </w:rPr>
              <w:t xml:space="preserve"> loan costs, and that the sale of Whistler St would fund rebuilding of the Library.  The transfer of the sale </w:t>
            </w:r>
            <w:r>
              <w:rPr>
                <w:sz w:val="18"/>
                <w:szCs w:val="18"/>
              </w:rPr>
              <w:t>proceeds of Whistler St to the Oval Car park improves the IRR to 10.6%, but the Council will now need to borrow to build the Library.</w:t>
            </w:r>
          </w:p>
          <w:p w:rsidR="00E4288F" w:rsidRDefault="00E4288F">
            <w:pPr>
              <w:rPr>
                <w:sz w:val="18"/>
                <w:szCs w:val="18"/>
              </w:rPr>
            </w:pPr>
          </w:p>
          <w:p w:rsidR="00E4288F" w:rsidRDefault="00E4288F">
            <w:pPr>
              <w:rPr>
                <w:b/>
                <w:sz w:val="18"/>
                <w:szCs w:val="18"/>
              </w:rPr>
            </w:pPr>
            <w:r w:rsidRPr="00E4288F">
              <w:rPr>
                <w:b/>
                <w:sz w:val="18"/>
                <w:szCs w:val="18"/>
              </w:rPr>
              <w:t>Outstanding issue:</w:t>
            </w:r>
            <w:r w:rsidR="00FA0797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Total debt incurred by Council to complete Manly 2015 is unchanged</w:t>
            </w:r>
            <w:r w:rsidR="00FA0797">
              <w:rPr>
                <w:b/>
                <w:sz w:val="18"/>
                <w:szCs w:val="18"/>
              </w:rPr>
              <w:t>, despite debt borrowed to build the car park falling from $34m to $16m.</w:t>
            </w:r>
          </w:p>
          <w:p w:rsidR="004D3CD8" w:rsidRPr="00E4288F" w:rsidRDefault="004D3CD8">
            <w:pPr>
              <w:rPr>
                <w:b/>
                <w:sz w:val="18"/>
                <w:szCs w:val="18"/>
              </w:rPr>
            </w:pPr>
          </w:p>
        </w:tc>
      </w:tr>
      <w:tr w:rsidR="00E4288F" w:rsidRPr="00AC5119" w:rsidTr="00E4288F">
        <w:tc>
          <w:tcPr>
            <w:tcW w:w="0" w:type="auto"/>
          </w:tcPr>
          <w:p w:rsidR="00AC5119" w:rsidRPr="00E4288F" w:rsidRDefault="00FA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debt</w:t>
            </w:r>
          </w:p>
        </w:tc>
        <w:tc>
          <w:tcPr>
            <w:tcW w:w="2801" w:type="dxa"/>
          </w:tcPr>
          <w:p w:rsidR="00AC5119" w:rsidRPr="00E4288F" w:rsidRDefault="00FA0797" w:rsidP="00FA0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$92m</w:t>
            </w:r>
          </w:p>
        </w:tc>
        <w:tc>
          <w:tcPr>
            <w:tcW w:w="3119" w:type="dxa"/>
          </w:tcPr>
          <w:p w:rsidR="00AC5119" w:rsidRPr="00E4288F" w:rsidRDefault="00FA0797" w:rsidP="00FA0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$65m</w:t>
            </w:r>
          </w:p>
        </w:tc>
        <w:tc>
          <w:tcPr>
            <w:tcW w:w="7278" w:type="dxa"/>
          </w:tcPr>
          <w:p w:rsidR="00AC5119" w:rsidRDefault="00FA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debt has reduced from $92m (Source: Community Strategic Plan 2012/13) to $65m (Source Community Strategic Plan 2013/14).</w:t>
            </w:r>
          </w:p>
          <w:p w:rsidR="00FA0797" w:rsidRDefault="00FA0797">
            <w:pPr>
              <w:rPr>
                <w:sz w:val="18"/>
                <w:szCs w:val="18"/>
              </w:rPr>
            </w:pPr>
          </w:p>
          <w:p w:rsidR="00FA0797" w:rsidRDefault="00FA0797">
            <w:pPr>
              <w:rPr>
                <w:b/>
                <w:sz w:val="18"/>
                <w:szCs w:val="18"/>
              </w:rPr>
            </w:pPr>
            <w:r w:rsidRPr="00FA0797">
              <w:rPr>
                <w:b/>
                <w:sz w:val="18"/>
                <w:szCs w:val="18"/>
              </w:rPr>
              <w:t xml:space="preserve">Comment:   </w:t>
            </w:r>
            <w:r>
              <w:rPr>
                <w:b/>
                <w:sz w:val="18"/>
                <w:szCs w:val="18"/>
              </w:rPr>
              <w:t>Council no longer proposes to develop the Whistler St site on its own balance sheet, and instead will sell the land on a best use basis to a third party developer.</w:t>
            </w:r>
          </w:p>
          <w:p w:rsidR="004D3CD8" w:rsidRPr="00FA0797" w:rsidRDefault="004D3CD8">
            <w:pPr>
              <w:rPr>
                <w:b/>
                <w:sz w:val="18"/>
                <w:szCs w:val="18"/>
              </w:rPr>
            </w:pPr>
          </w:p>
        </w:tc>
      </w:tr>
      <w:tr w:rsidR="00E4288F" w:rsidRPr="00AC5119" w:rsidTr="00E4288F">
        <w:tc>
          <w:tcPr>
            <w:tcW w:w="0" w:type="auto"/>
          </w:tcPr>
          <w:p w:rsidR="00AC5119" w:rsidRPr="00E4288F" w:rsidRDefault="00FA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Traffic growth </w:t>
            </w:r>
          </w:p>
        </w:tc>
        <w:tc>
          <w:tcPr>
            <w:tcW w:w="2801" w:type="dxa"/>
          </w:tcPr>
          <w:p w:rsidR="00AC5119" w:rsidRPr="00E4288F" w:rsidRDefault="00FA0797" w:rsidP="00FA0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AC5119" w:rsidRPr="00E4288F" w:rsidRDefault="00FA0797" w:rsidP="00FA0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3.5%pa</w:t>
            </w:r>
          </w:p>
        </w:tc>
        <w:tc>
          <w:tcPr>
            <w:tcW w:w="7278" w:type="dxa"/>
          </w:tcPr>
          <w:p w:rsidR="00AC5119" w:rsidRDefault="00FA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Bitzios</w:t>
            </w:r>
            <w:proofErr w:type="spellEnd"/>
            <w:r>
              <w:rPr>
                <w:sz w:val="18"/>
                <w:szCs w:val="18"/>
              </w:rPr>
              <w:t xml:space="preserve"> report assumptions that traffic will grow by 42% to 2033.  Separately, Hill PDA </w:t>
            </w:r>
            <w:proofErr w:type="gramStart"/>
            <w:r>
              <w:rPr>
                <w:sz w:val="18"/>
                <w:szCs w:val="18"/>
              </w:rPr>
              <w:t>have</w:t>
            </w:r>
            <w:proofErr w:type="gramEnd"/>
            <w:r>
              <w:rPr>
                <w:sz w:val="18"/>
                <w:szCs w:val="18"/>
              </w:rPr>
              <w:t xml:space="preserve"> forecast that demand will only increase 25% over the same time period.</w:t>
            </w:r>
          </w:p>
          <w:p w:rsidR="00FA0797" w:rsidRDefault="00FA0797">
            <w:pPr>
              <w:rPr>
                <w:sz w:val="18"/>
                <w:szCs w:val="18"/>
              </w:rPr>
            </w:pPr>
          </w:p>
          <w:p w:rsidR="00FA0797" w:rsidRDefault="00FA0797">
            <w:pPr>
              <w:rPr>
                <w:b/>
                <w:sz w:val="18"/>
                <w:szCs w:val="18"/>
              </w:rPr>
            </w:pPr>
            <w:r w:rsidRPr="00FA0797">
              <w:rPr>
                <w:b/>
                <w:sz w:val="18"/>
                <w:szCs w:val="18"/>
              </w:rPr>
              <w:t>Outstanding issue: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Bitzios</w:t>
            </w:r>
            <w:proofErr w:type="spellEnd"/>
            <w:r>
              <w:rPr>
                <w:b/>
                <w:sz w:val="18"/>
                <w:szCs w:val="18"/>
              </w:rPr>
              <w:t xml:space="preserve"> have used a report commissioned by Council to derive their g</w:t>
            </w:r>
            <w:r w:rsidR="00937DD4">
              <w:rPr>
                <w:b/>
                <w:sz w:val="18"/>
                <w:szCs w:val="18"/>
              </w:rPr>
              <w:t>rowth forecast.  The report used</w:t>
            </w:r>
            <w:r>
              <w:rPr>
                <w:b/>
                <w:sz w:val="18"/>
                <w:szCs w:val="18"/>
              </w:rPr>
              <w:t xml:space="preserve"> estimates the potential increases in CBD floor space IF THE MANLY CBD WAS DEVELOPED TO THE FULL EXTENT OF THE EXISTING LEP.  In our view, the data source is not a valid </w:t>
            </w:r>
            <w:r w:rsidR="00937DD4">
              <w:rPr>
                <w:b/>
                <w:sz w:val="18"/>
                <w:szCs w:val="18"/>
              </w:rPr>
              <w:t>method of forecasting as it does not forecast expected demand – it is based on potential supply – and implies that Manly must build out the CBD to its maximum potential just to achieve a 6.6% IRR.  The only valid demand analysis has been conducted by Hill PDA.</w:t>
            </w:r>
          </w:p>
          <w:p w:rsidR="004D3CD8" w:rsidRPr="00FA0797" w:rsidRDefault="004D3CD8">
            <w:pPr>
              <w:rPr>
                <w:b/>
                <w:sz w:val="18"/>
                <w:szCs w:val="18"/>
              </w:rPr>
            </w:pPr>
          </w:p>
        </w:tc>
      </w:tr>
      <w:tr w:rsidR="00E4288F" w:rsidRPr="00AC5119" w:rsidTr="00E4288F">
        <w:tc>
          <w:tcPr>
            <w:tcW w:w="0" w:type="auto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  <w:tc>
          <w:tcPr>
            <w:tcW w:w="7278" w:type="dxa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</w:tr>
      <w:tr w:rsidR="00E4288F" w:rsidRPr="00AC5119" w:rsidTr="00E4288F">
        <w:tc>
          <w:tcPr>
            <w:tcW w:w="0" w:type="auto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C5119" w:rsidRPr="00E4288F" w:rsidRDefault="00AC5119">
            <w:pPr>
              <w:rPr>
                <w:sz w:val="18"/>
                <w:szCs w:val="18"/>
              </w:rPr>
            </w:pPr>
          </w:p>
        </w:tc>
        <w:tc>
          <w:tcPr>
            <w:tcW w:w="7278" w:type="dxa"/>
          </w:tcPr>
          <w:p w:rsidR="00AC5119" w:rsidRPr="004D3CD8" w:rsidRDefault="004D3CD8">
            <w:pPr>
              <w:rPr>
                <w:b/>
                <w:sz w:val="18"/>
                <w:szCs w:val="18"/>
              </w:rPr>
            </w:pPr>
            <w:r w:rsidRPr="004D3CD8">
              <w:rPr>
                <w:b/>
                <w:sz w:val="18"/>
                <w:szCs w:val="18"/>
              </w:rPr>
              <w:t xml:space="preserve">Prepared by :  Bruce </w:t>
            </w:r>
            <w:proofErr w:type="spellStart"/>
            <w:r w:rsidRPr="004D3CD8">
              <w:rPr>
                <w:b/>
                <w:sz w:val="18"/>
                <w:szCs w:val="18"/>
              </w:rPr>
              <w:t>Kitson</w:t>
            </w:r>
            <w:proofErr w:type="spellEnd"/>
            <w:r w:rsidRPr="004D3CD8">
              <w:rPr>
                <w:b/>
                <w:sz w:val="18"/>
                <w:szCs w:val="18"/>
              </w:rPr>
              <w:t xml:space="preserve"> &amp; Peter </w:t>
            </w:r>
            <w:proofErr w:type="spellStart"/>
            <w:r w:rsidRPr="004D3CD8">
              <w:rPr>
                <w:b/>
                <w:sz w:val="18"/>
                <w:szCs w:val="18"/>
              </w:rPr>
              <w:t>Greentree</w:t>
            </w:r>
            <w:proofErr w:type="spellEnd"/>
            <w:r w:rsidR="00B104D5">
              <w:rPr>
                <w:b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="00B104D5">
              <w:rPr>
                <w:b/>
                <w:sz w:val="18"/>
                <w:szCs w:val="18"/>
              </w:rPr>
              <w:t xml:space="preserve">                           7 July 2014</w:t>
            </w:r>
          </w:p>
        </w:tc>
      </w:tr>
    </w:tbl>
    <w:p w:rsidR="00AC5119" w:rsidRPr="00F46AD8" w:rsidRDefault="00AC5119"/>
    <w:sectPr w:rsidR="00AC5119" w:rsidRPr="00F46AD8" w:rsidSect="00AC5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19" w:rsidRDefault="00AC5119" w:rsidP="00987454">
      <w:pPr>
        <w:spacing w:line="240" w:lineRule="auto"/>
      </w:pPr>
      <w:r>
        <w:separator/>
      </w:r>
    </w:p>
  </w:endnote>
  <w:endnote w:type="continuationSeparator" w:id="0">
    <w:p w:rsidR="00AC5119" w:rsidRDefault="00AC5119" w:rsidP="00987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4" w:rsidRDefault="00987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4" w:rsidRDefault="009874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4" w:rsidRDefault="00987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19" w:rsidRDefault="00AC5119" w:rsidP="00987454">
      <w:pPr>
        <w:spacing w:line="240" w:lineRule="auto"/>
      </w:pPr>
      <w:r>
        <w:separator/>
      </w:r>
    </w:p>
  </w:footnote>
  <w:footnote w:type="continuationSeparator" w:id="0">
    <w:p w:rsidR="00AC5119" w:rsidRDefault="00AC5119" w:rsidP="00987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4" w:rsidRDefault="00987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4" w:rsidRDefault="00987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4" w:rsidRDefault="00987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9"/>
    <w:rsid w:val="00175A24"/>
    <w:rsid w:val="00350143"/>
    <w:rsid w:val="00401D9F"/>
    <w:rsid w:val="004D3CD8"/>
    <w:rsid w:val="0059050D"/>
    <w:rsid w:val="006079B1"/>
    <w:rsid w:val="00937DD4"/>
    <w:rsid w:val="00987454"/>
    <w:rsid w:val="00AC5119"/>
    <w:rsid w:val="00B0619D"/>
    <w:rsid w:val="00B104D5"/>
    <w:rsid w:val="00BB6C22"/>
    <w:rsid w:val="00C11E8C"/>
    <w:rsid w:val="00C416F5"/>
    <w:rsid w:val="00E4288F"/>
    <w:rsid w:val="00F46AD8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5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74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54"/>
    <w:rPr>
      <w:lang w:val="en-AU"/>
    </w:rPr>
  </w:style>
  <w:style w:type="table" w:styleId="TableGrid">
    <w:name w:val="Table Grid"/>
    <w:basedOn w:val="TableNormal"/>
    <w:uiPriority w:val="59"/>
    <w:rsid w:val="00AC51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5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74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54"/>
    <w:rPr>
      <w:lang w:val="en-AU"/>
    </w:rPr>
  </w:style>
  <w:style w:type="table" w:styleId="TableGrid">
    <w:name w:val="Table Grid"/>
    <w:basedOn w:val="TableNormal"/>
    <w:uiPriority w:val="59"/>
    <w:rsid w:val="00AC51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llianz">
  <a:themeElements>
    <a:clrScheme name="Allianz - Primary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13388"/>
      </a:accent1>
      <a:accent2>
        <a:srgbClr val="426BB3"/>
      </a:accent2>
      <a:accent3>
        <a:srgbClr val="819CCC"/>
      </a:accent3>
      <a:accent4>
        <a:srgbClr val="C6CEE2"/>
      </a:accent4>
      <a:accent5>
        <a:srgbClr val="D8D8D8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2014-07-07T03:03:00Z</dcterms:created>
  <dcterms:modified xsi:type="dcterms:W3CDTF">2014-07-07T06:18:00Z</dcterms:modified>
</cp:coreProperties>
</file>